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4E118" w14:textId="77777777" w:rsidR="008300F9" w:rsidRDefault="00005EA9">
      <w:pPr>
        <w:rPr>
          <w:b/>
        </w:rPr>
      </w:pPr>
      <w:bookmarkStart w:id="0" w:name="_GoBack"/>
      <w:bookmarkEnd w:id="0"/>
      <w:r>
        <w:rPr>
          <w:b/>
        </w:rPr>
        <w:t xml:space="preserve">CME </w:t>
      </w:r>
      <w:r w:rsidR="00675C99">
        <w:rPr>
          <w:b/>
        </w:rPr>
        <w:t xml:space="preserve">MARKET DATA </w:t>
      </w:r>
      <w:r>
        <w:rPr>
          <w:b/>
        </w:rPr>
        <w:t>NON-DISPLAY POLICIES AND PRICING</w:t>
      </w:r>
    </w:p>
    <w:p w14:paraId="196C23DF" w14:textId="108F2BE1" w:rsidR="00005EA9" w:rsidRDefault="00005EA9" w:rsidP="00005EA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644E7E">
        <w:rPr>
          <w:rFonts w:ascii="Arial" w:hAnsi="Arial" w:cs="Arial"/>
          <w:sz w:val="20"/>
          <w:szCs w:val="20"/>
        </w:rPr>
        <w:t xml:space="preserve">CME’s </w:t>
      </w:r>
      <w:r>
        <w:rPr>
          <w:rFonts w:ascii="Arial" w:hAnsi="Arial" w:cs="Arial"/>
          <w:sz w:val="20"/>
          <w:szCs w:val="20"/>
        </w:rPr>
        <w:t xml:space="preserve">Non-Display policy will apply to anyone accessing, processing or consuming CME Group </w:t>
      </w:r>
      <w:r w:rsidR="00106F12">
        <w:rPr>
          <w:rFonts w:ascii="Arial" w:hAnsi="Arial" w:cs="Arial"/>
          <w:sz w:val="20"/>
          <w:szCs w:val="20"/>
        </w:rPr>
        <w:t xml:space="preserve">real-time or delayed </w:t>
      </w:r>
      <w:r>
        <w:rPr>
          <w:rFonts w:ascii="Arial" w:hAnsi="Arial" w:cs="Arial"/>
          <w:sz w:val="20"/>
          <w:szCs w:val="20"/>
        </w:rPr>
        <w:t xml:space="preserve">market data for a purpose other than in support of its display or distribution. Use of market data within automated trading systems </w:t>
      </w:r>
      <w:r w:rsidR="00644E7E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part of the Non-Display license. Categories have been established within the Non-Display license as follows; </w:t>
      </w:r>
    </w:p>
    <w:p w14:paraId="64A8E6CB" w14:textId="1450538F" w:rsidR="00005EA9" w:rsidRDefault="00005EA9" w:rsidP="00005EA9">
      <w:pPr>
        <w:numPr>
          <w:ilvl w:val="0"/>
          <w:numId w:val="1"/>
        </w:numPr>
        <w:spacing w:before="100" w:beforeAutospacing="1" w:after="75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Automated Trading Systems (ATS) – </w:t>
      </w:r>
      <w:r w:rsidR="00106F12">
        <w:rPr>
          <w:rFonts w:ascii="Arial" w:hAnsi="Arial" w:cs="Arial"/>
          <w:color w:val="333333"/>
        </w:rPr>
        <w:t xml:space="preserve">any system or software that generates and/or routes orders electronically with no, or only de </w:t>
      </w:r>
      <w:proofErr w:type="spellStart"/>
      <w:r w:rsidR="00106F12">
        <w:rPr>
          <w:rFonts w:ascii="Arial" w:hAnsi="Arial" w:cs="Arial"/>
          <w:color w:val="333333"/>
        </w:rPr>
        <w:t>minimis</w:t>
      </w:r>
      <w:proofErr w:type="spellEnd"/>
      <w:r w:rsidR="00106F12">
        <w:rPr>
          <w:rFonts w:ascii="Arial" w:hAnsi="Arial" w:cs="Arial"/>
          <w:color w:val="333333"/>
        </w:rPr>
        <w:t>, human action involved in generating, sending and/or verifying orders.</w:t>
      </w:r>
    </w:p>
    <w:p w14:paraId="3EAAF035" w14:textId="6981E051" w:rsidR="00005EA9" w:rsidRDefault="00E5545E" w:rsidP="00005EA9">
      <w:pPr>
        <w:numPr>
          <w:ilvl w:val="0"/>
          <w:numId w:val="1"/>
        </w:numPr>
        <w:spacing w:before="100" w:beforeAutospacing="1" w:after="75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Internal Order Processing</w:t>
      </w:r>
      <w:r w:rsidR="00005EA9">
        <w:rPr>
          <w:rFonts w:ascii="Arial" w:eastAsia="Times New Roman" w:hAnsi="Arial" w:cs="Arial"/>
          <w:sz w:val="20"/>
          <w:szCs w:val="20"/>
        </w:rPr>
        <w:t xml:space="preserve"> – </w:t>
      </w:r>
      <w:r w:rsidR="00106F12" w:rsidRPr="00FE0443">
        <w:rPr>
          <w:rFonts w:ascii="Arial" w:hAnsi="Arial" w:cs="Arial"/>
          <w:color w:val="333333"/>
        </w:rPr>
        <w:t>includes any electronic systems or computer software that matches trades within an organization.</w:t>
      </w:r>
    </w:p>
    <w:p w14:paraId="0BBEFE95" w14:textId="77777777" w:rsidR="00106F12" w:rsidRPr="00FE0443" w:rsidRDefault="00106F12" w:rsidP="00106F12">
      <w:pPr>
        <w:numPr>
          <w:ilvl w:val="0"/>
          <w:numId w:val="1"/>
        </w:numPr>
        <w:spacing w:before="100" w:beforeAutospacing="1" w:after="75" w:line="330" w:lineRule="atLeast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>Other Internal Non-Display Categories</w:t>
      </w:r>
      <w:r w:rsidRPr="00FE0443">
        <w:rPr>
          <w:rFonts w:ascii="Arial" w:eastAsia="Times New Roman" w:hAnsi="Arial" w:cs="Arial"/>
          <w:sz w:val="20"/>
          <w:szCs w:val="20"/>
        </w:rPr>
        <w:t xml:space="preserve"> – </w:t>
      </w:r>
      <w:r w:rsidRPr="00FE0443">
        <w:rPr>
          <w:rFonts w:ascii="Arial" w:hAnsi="Arial" w:cs="Arial"/>
          <w:color w:val="333333"/>
        </w:rPr>
        <w:t>Use of Information for any of the following:</w:t>
      </w:r>
    </w:p>
    <w:p w14:paraId="67443FA1" w14:textId="4049EE30" w:rsidR="00106F12" w:rsidRDefault="00106F12" w:rsidP="00106F12">
      <w:pPr>
        <w:pStyle w:val="NormalWeb"/>
        <w:numPr>
          <w:ilvl w:val="0"/>
          <w:numId w:val="6"/>
        </w:numPr>
        <w:spacing w:line="33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Risk management</w:t>
      </w:r>
      <w:proofErr w:type="gramStart"/>
      <w:r>
        <w:rPr>
          <w:rFonts w:ascii="Arial" w:hAnsi="Arial" w:cs="Arial"/>
          <w:color w:val="333333"/>
        </w:rPr>
        <w:t>;</w:t>
      </w:r>
      <w:proofErr w:type="gramEnd"/>
      <w:r>
        <w:rPr>
          <w:rFonts w:ascii="Arial" w:hAnsi="Arial" w:cs="Arial"/>
          <w:color w:val="333333"/>
        </w:rPr>
        <w:br/>
        <w:t>(b) Research and analysis;</w:t>
      </w:r>
      <w:r>
        <w:rPr>
          <w:rFonts w:ascii="Arial" w:hAnsi="Arial" w:cs="Arial"/>
          <w:color w:val="333333"/>
        </w:rPr>
        <w:br/>
        <w:t>(c) Fund administration;</w:t>
      </w:r>
      <w:r>
        <w:rPr>
          <w:rFonts w:ascii="Arial" w:hAnsi="Arial" w:cs="Arial"/>
          <w:color w:val="333333"/>
        </w:rPr>
        <w:br/>
        <w:t>(d) Portfolio Management;</w:t>
      </w:r>
      <w:r>
        <w:rPr>
          <w:rFonts w:ascii="Arial" w:hAnsi="Arial" w:cs="Arial"/>
          <w:color w:val="333333"/>
        </w:rPr>
        <w:br/>
        <w:t>(e) Execution Management System / Order Management System.</w:t>
      </w:r>
    </w:p>
    <w:p w14:paraId="3014C790" w14:textId="77777777" w:rsidR="00106F12" w:rsidRPr="00106F12" w:rsidRDefault="00106F12" w:rsidP="00106F12">
      <w:pPr>
        <w:pStyle w:val="NormalWeb"/>
        <w:numPr>
          <w:ilvl w:val="0"/>
          <w:numId w:val="1"/>
        </w:numPr>
        <w:spacing w:line="330" w:lineRule="atLeast"/>
        <w:rPr>
          <w:rFonts w:ascii="Arial" w:hAnsi="Arial" w:cs="Arial"/>
          <w:color w:val="333333"/>
        </w:rPr>
      </w:pPr>
      <w:r w:rsidRPr="00106F12">
        <w:rPr>
          <w:rFonts w:ascii="Arial" w:eastAsia="Times New Roman" w:hAnsi="Arial" w:cs="Arial"/>
          <w:b/>
          <w:sz w:val="20"/>
          <w:szCs w:val="20"/>
        </w:rPr>
        <w:t>Derived Data</w:t>
      </w:r>
      <w:r w:rsidRPr="00106F12">
        <w:rPr>
          <w:rFonts w:ascii="Arial" w:eastAsia="Times New Roman" w:hAnsi="Arial" w:cs="Arial"/>
          <w:sz w:val="20"/>
          <w:szCs w:val="20"/>
        </w:rPr>
        <w:t xml:space="preserve"> - </w:t>
      </w:r>
      <w:r w:rsidRPr="00106F12">
        <w:rPr>
          <w:rFonts w:ascii="Arial" w:hAnsi="Arial" w:cs="Arial"/>
          <w:sz w:val="20"/>
          <w:szCs w:val="20"/>
        </w:rPr>
        <w:t>Derived Works (creation of indices, ETFs or other products, using CME Group information to create a new unique product, where the underlying information is not easily re-</w:t>
      </w:r>
      <w:proofErr w:type="gramStart"/>
      <w:r w:rsidRPr="00106F12">
        <w:rPr>
          <w:rFonts w:ascii="Arial" w:hAnsi="Arial" w:cs="Arial"/>
          <w:sz w:val="20"/>
          <w:szCs w:val="20"/>
        </w:rPr>
        <w:t>engineered</w:t>
      </w:r>
      <w:proofErr w:type="gramEnd"/>
      <w:r w:rsidRPr="00106F12">
        <w:rPr>
          <w:rFonts w:ascii="Arial" w:hAnsi="Arial" w:cs="Arial"/>
          <w:sz w:val="20"/>
          <w:szCs w:val="20"/>
        </w:rPr>
        <w:t>) will continue to be licensed under the Derived Data License Agreement.</w:t>
      </w:r>
    </w:p>
    <w:p w14:paraId="00266DE3" w14:textId="6931A1B0" w:rsidR="00B3033A" w:rsidRPr="00106F12" w:rsidRDefault="00B3033A" w:rsidP="00106F12">
      <w:pPr>
        <w:pStyle w:val="NormalWeb"/>
        <w:spacing w:line="330" w:lineRule="atLeast"/>
        <w:ind w:left="720"/>
        <w:rPr>
          <w:rFonts w:ascii="Arial" w:hAnsi="Arial" w:cs="Arial"/>
          <w:color w:val="333333"/>
        </w:rPr>
      </w:pPr>
      <w:r w:rsidRPr="00106F12">
        <w:rPr>
          <w:rFonts w:ascii="Arial" w:hAnsi="Arial" w:cs="Arial"/>
          <w:sz w:val="20"/>
          <w:szCs w:val="20"/>
        </w:rPr>
        <w:t>All Subscribers using data in non-display applications</w:t>
      </w:r>
      <w:r w:rsidR="00005EA9" w:rsidRPr="00106F12">
        <w:rPr>
          <w:rFonts w:ascii="Arial" w:hAnsi="Arial" w:cs="Arial"/>
          <w:sz w:val="20"/>
          <w:szCs w:val="20"/>
        </w:rPr>
        <w:t xml:space="preserve"> must enter into an agreement directly with CME for such use, prior to receiving data from </w:t>
      </w:r>
      <w:r w:rsidRPr="00106F12">
        <w:rPr>
          <w:rFonts w:ascii="Arial" w:hAnsi="Arial" w:cs="Arial"/>
          <w:sz w:val="20"/>
          <w:szCs w:val="20"/>
        </w:rPr>
        <w:t>CQG</w:t>
      </w:r>
      <w:r w:rsidR="00005EA9" w:rsidRPr="00106F12">
        <w:rPr>
          <w:rFonts w:ascii="Arial" w:hAnsi="Arial" w:cs="Arial"/>
          <w:sz w:val="20"/>
          <w:szCs w:val="20"/>
        </w:rPr>
        <w:t>.</w:t>
      </w:r>
      <w:r w:rsidRPr="00106F12">
        <w:rPr>
          <w:rFonts w:ascii="Arial" w:hAnsi="Arial" w:cs="Arial"/>
          <w:sz w:val="20"/>
          <w:szCs w:val="20"/>
        </w:rPr>
        <w:t xml:space="preserve"> (This requirement does not apply to subscribers who qualify for Managed User Non-Display, as described below.) </w:t>
      </w:r>
      <w:r w:rsidR="00552758" w:rsidRPr="00106F12">
        <w:rPr>
          <w:rFonts w:ascii="Arial" w:hAnsi="Arial" w:cs="Arial"/>
          <w:sz w:val="20"/>
          <w:szCs w:val="20"/>
        </w:rPr>
        <w:t xml:space="preserve"> </w:t>
      </w:r>
    </w:p>
    <w:tbl>
      <w:tblPr>
        <w:tblW w:w="504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1489"/>
        <w:gridCol w:w="1489"/>
        <w:gridCol w:w="1489"/>
        <w:gridCol w:w="1491"/>
        <w:gridCol w:w="1491"/>
      </w:tblGrid>
      <w:tr w:rsidR="00FA7153" w14:paraId="5DB7595F" w14:textId="77777777" w:rsidTr="00FA7153">
        <w:trPr>
          <w:tblCellSpacing w:w="0" w:type="dxa"/>
        </w:trPr>
        <w:tc>
          <w:tcPr>
            <w:tcW w:w="1052" w:type="pct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523AFC" w14:textId="77777777" w:rsidR="00FA7153" w:rsidRDefault="00FA7153" w:rsidP="00ED3C1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Non-Display License Fees/month</w:t>
            </w:r>
          </w:p>
        </w:tc>
        <w:tc>
          <w:tcPr>
            <w:tcW w:w="789" w:type="pct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ADC51E" w14:textId="77777777" w:rsidR="00FA7153" w:rsidRDefault="00FA7153" w:rsidP="00ED3C1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CME</w:t>
            </w:r>
          </w:p>
        </w:tc>
        <w:tc>
          <w:tcPr>
            <w:tcW w:w="789" w:type="pct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6FE385" w14:textId="77777777" w:rsidR="00FA7153" w:rsidRDefault="00FA7153" w:rsidP="00ED3C1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CBOT</w:t>
            </w:r>
          </w:p>
        </w:tc>
        <w:tc>
          <w:tcPr>
            <w:tcW w:w="789" w:type="pct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783411" w14:textId="77777777" w:rsidR="00FA7153" w:rsidRDefault="00FA7153" w:rsidP="00ED3C1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NYMEX</w:t>
            </w:r>
          </w:p>
        </w:tc>
        <w:tc>
          <w:tcPr>
            <w:tcW w:w="790" w:type="pct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724658" w14:textId="77777777" w:rsidR="00FA7153" w:rsidRDefault="00FA7153" w:rsidP="00ED3C1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COMEX</w:t>
            </w:r>
          </w:p>
        </w:tc>
        <w:tc>
          <w:tcPr>
            <w:tcW w:w="790" w:type="pct"/>
            <w:shd w:val="clear" w:color="auto" w:fill="CCCCCC"/>
            <w:vAlign w:val="center"/>
          </w:tcPr>
          <w:p w14:paraId="07017377" w14:textId="77777777" w:rsidR="00FA7153" w:rsidRDefault="00FA7153" w:rsidP="00FA7153">
            <w:pPr>
              <w:pStyle w:val="NormalWeb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DME</w:t>
            </w:r>
          </w:p>
        </w:tc>
      </w:tr>
      <w:tr w:rsidR="00FA7153" w14:paraId="45F8B555" w14:textId="77777777" w:rsidTr="00FA7153">
        <w:trPr>
          <w:tblCellSpacing w:w="0" w:type="dxa"/>
        </w:trPr>
        <w:tc>
          <w:tcPr>
            <w:tcW w:w="1052" w:type="pct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EC73BE" w14:textId="77777777" w:rsidR="00FA7153" w:rsidRDefault="00FA7153" w:rsidP="00ED3C1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Category A:  Automated Trading Systems*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211EE2" w14:textId="77777777" w:rsidR="00FA7153" w:rsidRDefault="00FA7153" w:rsidP="00ED3C1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$670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AA9C4B" w14:textId="77777777" w:rsidR="00FA7153" w:rsidRDefault="00FA7153" w:rsidP="00ED3C1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$670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3ABB12" w14:textId="77777777" w:rsidR="00FA7153" w:rsidRDefault="00FA7153" w:rsidP="00ED3C1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$670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276280" w14:textId="77777777" w:rsidR="00FA7153" w:rsidRDefault="00FA7153" w:rsidP="00ED3C1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$670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CCCCCC"/>
              <w:right w:val="nil"/>
            </w:tcBorders>
            <w:vAlign w:val="center"/>
          </w:tcPr>
          <w:p w14:paraId="6DFAB4D8" w14:textId="77777777" w:rsidR="00FA7153" w:rsidRDefault="00FA7153" w:rsidP="00FA7153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$670</w:t>
            </w:r>
          </w:p>
        </w:tc>
      </w:tr>
      <w:tr w:rsidR="00FA7153" w14:paraId="0799BD5D" w14:textId="77777777" w:rsidTr="00FA7153">
        <w:trPr>
          <w:tblCellSpacing w:w="0" w:type="dxa"/>
        </w:trPr>
        <w:tc>
          <w:tcPr>
            <w:tcW w:w="1052" w:type="pct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516940" w14:textId="77777777" w:rsidR="00FA7153" w:rsidRDefault="00FA7153" w:rsidP="00ED3C1C">
            <w:pPr>
              <w:pStyle w:val="NormalWeb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Category A:  User Non Display**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3FA141" w14:textId="77777777" w:rsidR="00FA7153" w:rsidRDefault="00FA7153" w:rsidP="00ED3C1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$375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1A0EC2" w14:textId="77777777" w:rsidR="00FA7153" w:rsidRDefault="00FA7153" w:rsidP="00ED3C1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$375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B501A5" w14:textId="77777777" w:rsidR="00FA7153" w:rsidRDefault="00FA7153" w:rsidP="00ED3C1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$375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0CD044" w14:textId="77777777" w:rsidR="00FA7153" w:rsidRDefault="00FA7153" w:rsidP="00ED3C1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$375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CCCCCC"/>
              <w:right w:val="nil"/>
            </w:tcBorders>
            <w:vAlign w:val="center"/>
          </w:tcPr>
          <w:p w14:paraId="069E7276" w14:textId="77777777" w:rsidR="00FA7153" w:rsidRDefault="00FA7153" w:rsidP="00FA7153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$375</w:t>
            </w:r>
          </w:p>
        </w:tc>
      </w:tr>
      <w:tr w:rsidR="00FA7153" w14:paraId="6D41560D" w14:textId="77777777" w:rsidTr="00FA7153">
        <w:trPr>
          <w:tblCellSpacing w:w="0" w:type="dxa"/>
        </w:trPr>
        <w:tc>
          <w:tcPr>
            <w:tcW w:w="1052" w:type="pct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02452A" w14:textId="77777777" w:rsidR="00FA7153" w:rsidRDefault="00FA7153" w:rsidP="00ED3C1C">
            <w:pPr>
              <w:pStyle w:val="NormalWeb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Category A:  Managed User Non-Display***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241C43" w14:textId="77777777" w:rsidR="00FA7153" w:rsidRDefault="00FA7153" w:rsidP="00ED3C1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$170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5D3353" w14:textId="77777777" w:rsidR="00FA7153" w:rsidRDefault="00FA7153" w:rsidP="00ED3C1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$170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86A9BA" w14:textId="77777777" w:rsidR="00FA7153" w:rsidRDefault="00FA7153" w:rsidP="00ED3C1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$170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2A35B6" w14:textId="77777777" w:rsidR="00FA7153" w:rsidRDefault="00FA7153" w:rsidP="00ED3C1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$170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CCCCCC"/>
              <w:right w:val="nil"/>
            </w:tcBorders>
            <w:vAlign w:val="center"/>
          </w:tcPr>
          <w:p w14:paraId="2B5B6BBF" w14:textId="77777777" w:rsidR="00FA7153" w:rsidRDefault="00FA7153" w:rsidP="00FA7153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$170</w:t>
            </w:r>
          </w:p>
        </w:tc>
      </w:tr>
      <w:tr w:rsidR="00FA7153" w14:paraId="2FC6D3D2" w14:textId="77777777" w:rsidTr="00FA7153">
        <w:trPr>
          <w:tblCellSpacing w:w="0" w:type="dxa"/>
        </w:trPr>
        <w:tc>
          <w:tcPr>
            <w:tcW w:w="1052" w:type="pct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8F1E7D" w14:textId="611C0185" w:rsidR="00FA7153" w:rsidRDefault="00FA7153" w:rsidP="00106F12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Category B:  </w:t>
            </w:r>
            <w:r w:rsidR="00106F12">
              <w:rPr>
                <w:rStyle w:val="Strong"/>
                <w:rFonts w:ascii="Arial" w:hAnsi="Arial" w:cs="Arial"/>
                <w:sz w:val="20"/>
                <w:szCs w:val="20"/>
              </w:rPr>
              <w:t>Internal Order Processing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****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91A5A8" w14:textId="77777777" w:rsidR="00FA7153" w:rsidRDefault="00FA7153" w:rsidP="00ED3C1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$670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8D0ECD" w14:textId="77777777" w:rsidR="00FA7153" w:rsidRDefault="00FA7153" w:rsidP="00ED3C1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$670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7D901C" w14:textId="77777777" w:rsidR="00FA7153" w:rsidRDefault="00FA7153" w:rsidP="00ED3C1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$670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0E6081" w14:textId="77777777" w:rsidR="00FA7153" w:rsidRDefault="00FA7153" w:rsidP="00ED3C1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$670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CCCCCC"/>
              <w:right w:val="nil"/>
            </w:tcBorders>
            <w:vAlign w:val="center"/>
          </w:tcPr>
          <w:p w14:paraId="15992901" w14:textId="77777777" w:rsidR="00FA7153" w:rsidRDefault="00FA7153" w:rsidP="00FA7153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$670</w:t>
            </w:r>
          </w:p>
        </w:tc>
      </w:tr>
      <w:tr w:rsidR="00FA7153" w14:paraId="14682809" w14:textId="77777777" w:rsidTr="00FA7153">
        <w:trPr>
          <w:tblCellSpacing w:w="0" w:type="dxa"/>
        </w:trPr>
        <w:tc>
          <w:tcPr>
            <w:tcW w:w="1052" w:type="pct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B8EB90" w14:textId="77777777" w:rsidR="00FA7153" w:rsidRDefault="00FA7153" w:rsidP="00ED3C1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lastRenderedPageBreak/>
              <w:t>Category C:  Other Internal Non-Display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31F011" w14:textId="2746F81A" w:rsidR="00FA7153" w:rsidRDefault="00FA7153" w:rsidP="00ED3C1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06F12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D3A6A7" w14:textId="47306225" w:rsidR="00FA7153" w:rsidRDefault="00FA7153" w:rsidP="00ED3C1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06F12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AD0C6A" w14:textId="5EF2C69F" w:rsidR="00FA7153" w:rsidRDefault="00FA7153" w:rsidP="00ED3C1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06F12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C21DBD" w14:textId="5C1055B3" w:rsidR="00FA7153" w:rsidRDefault="00FA7153" w:rsidP="00ED3C1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06F12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CCCCCC"/>
              <w:right w:val="nil"/>
            </w:tcBorders>
            <w:vAlign w:val="center"/>
          </w:tcPr>
          <w:p w14:paraId="6CFBD6B1" w14:textId="21F94FF7" w:rsidR="00FA7153" w:rsidRDefault="00FA7153" w:rsidP="00FA7153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</w:tbl>
    <w:p w14:paraId="7AD48BC0" w14:textId="77777777" w:rsidR="00005EA9" w:rsidRDefault="00005EA9" w:rsidP="00005EA9"/>
    <w:p w14:paraId="47024494" w14:textId="77777777" w:rsidR="00AB2507" w:rsidRDefault="00AB2507" w:rsidP="00005EA9">
      <w:r>
        <w:t>*Category A:  Automated Trading Systems</w:t>
      </w:r>
    </w:p>
    <w:p w14:paraId="3D0DB71C" w14:textId="77777777" w:rsidR="00AB2507" w:rsidRPr="00AB2507" w:rsidRDefault="00A52109" w:rsidP="00AB250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B2507">
        <w:rPr>
          <w:rFonts w:ascii="Arial" w:hAnsi="Arial" w:cs="Arial"/>
          <w:sz w:val="20"/>
          <w:szCs w:val="20"/>
        </w:rPr>
        <w:t xml:space="preserve">The firm is required to complete a Market Data License with CME Group and remit license fees to CME directly. </w:t>
      </w:r>
    </w:p>
    <w:p w14:paraId="523682BD" w14:textId="77777777" w:rsidR="00AB2507" w:rsidRPr="00AB2507" w:rsidRDefault="0027568D" w:rsidP="00AB250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B2507">
        <w:rPr>
          <w:rFonts w:ascii="Arial" w:hAnsi="Arial" w:cs="Arial"/>
          <w:sz w:val="20"/>
          <w:szCs w:val="20"/>
        </w:rPr>
        <w:t>The Licenses apply once to each firm (including subsidiaries and affiliates), $670</w:t>
      </w:r>
      <w:r w:rsidR="003F1788">
        <w:rPr>
          <w:rFonts w:ascii="Arial" w:hAnsi="Arial" w:cs="Arial"/>
          <w:sz w:val="20"/>
          <w:szCs w:val="20"/>
        </w:rPr>
        <w:t xml:space="preserve"> per category</w:t>
      </w:r>
      <w:r w:rsidRPr="00AB2507">
        <w:rPr>
          <w:rFonts w:ascii="Arial" w:hAnsi="Arial" w:cs="Arial"/>
          <w:sz w:val="20"/>
          <w:szCs w:val="20"/>
        </w:rPr>
        <w:t xml:space="preserve"> per exchange.  Multiple algorithms or strategies are covered under on</w:t>
      </w:r>
      <w:r w:rsidR="0094237D" w:rsidRPr="00AB2507">
        <w:rPr>
          <w:rFonts w:ascii="Arial" w:hAnsi="Arial" w:cs="Arial"/>
          <w:sz w:val="20"/>
          <w:szCs w:val="20"/>
        </w:rPr>
        <w:t>e</w:t>
      </w:r>
      <w:r w:rsidRPr="00AB2507">
        <w:rPr>
          <w:rFonts w:ascii="Arial" w:hAnsi="Arial" w:cs="Arial"/>
          <w:sz w:val="20"/>
          <w:szCs w:val="20"/>
        </w:rPr>
        <w:t xml:space="preserve"> Category A</w:t>
      </w:r>
      <w:r w:rsidR="003F1788">
        <w:rPr>
          <w:rFonts w:ascii="Arial" w:hAnsi="Arial" w:cs="Arial"/>
          <w:sz w:val="20"/>
          <w:szCs w:val="20"/>
        </w:rPr>
        <w:t>:</w:t>
      </w:r>
      <w:r w:rsidRPr="00AB2507">
        <w:rPr>
          <w:rFonts w:ascii="Arial" w:hAnsi="Arial" w:cs="Arial"/>
          <w:sz w:val="20"/>
          <w:szCs w:val="20"/>
        </w:rPr>
        <w:t xml:space="preserve"> Non-Display License, per exchange.</w:t>
      </w:r>
      <w:r w:rsidR="00E72E8D" w:rsidRPr="00AB2507">
        <w:rPr>
          <w:rFonts w:ascii="Arial" w:hAnsi="Arial" w:cs="Arial"/>
          <w:sz w:val="20"/>
          <w:szCs w:val="20"/>
        </w:rPr>
        <w:t xml:space="preserve">  </w:t>
      </w:r>
    </w:p>
    <w:p w14:paraId="60E13176" w14:textId="77777777" w:rsidR="00AB2507" w:rsidRDefault="0027568D" w:rsidP="002756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</w:t>
      </w:r>
      <w:r w:rsidR="00AB2507">
        <w:rPr>
          <w:rFonts w:ascii="Arial" w:hAnsi="Arial" w:cs="Arial"/>
          <w:sz w:val="20"/>
          <w:szCs w:val="20"/>
        </w:rPr>
        <w:t>Category A: User Non-Display</w:t>
      </w:r>
      <w:r w:rsidR="00005EA9">
        <w:rPr>
          <w:rFonts w:ascii="Arial" w:hAnsi="Arial" w:cs="Arial"/>
          <w:sz w:val="20"/>
          <w:szCs w:val="20"/>
        </w:rPr>
        <w:t xml:space="preserve"> </w:t>
      </w:r>
    </w:p>
    <w:p w14:paraId="3A335B1A" w14:textId="77777777" w:rsidR="00AB2507" w:rsidRDefault="00AB2507" w:rsidP="00AB250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B2507">
        <w:rPr>
          <w:rFonts w:ascii="Arial" w:hAnsi="Arial" w:cs="Arial"/>
          <w:sz w:val="20"/>
          <w:szCs w:val="20"/>
        </w:rPr>
        <w:t>The user is required to complete a Market Data License with CME Group and remit license fees to CME directly. </w:t>
      </w:r>
    </w:p>
    <w:p w14:paraId="5F3AC91D" w14:textId="77777777" w:rsidR="00AB2507" w:rsidRPr="00AB2507" w:rsidRDefault="00EF7B1C" w:rsidP="00AB250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B2507">
        <w:rPr>
          <w:rFonts w:ascii="Arial" w:hAnsi="Arial" w:cs="Arial"/>
          <w:sz w:val="20"/>
          <w:szCs w:val="20"/>
        </w:rPr>
        <w:t>This is</w:t>
      </w:r>
      <w:r w:rsidR="00005EA9" w:rsidRPr="00AB2507">
        <w:rPr>
          <w:rFonts w:ascii="Arial" w:hAnsi="Arial" w:cs="Arial"/>
          <w:sz w:val="20"/>
          <w:szCs w:val="20"/>
        </w:rPr>
        <w:t xml:space="preserve"> a reduced rate </w:t>
      </w:r>
      <w:r w:rsidR="00005EA9" w:rsidRPr="00AB2507">
        <w:rPr>
          <w:rFonts w:ascii="Arial" w:hAnsi="Arial" w:cs="Arial"/>
          <w:color w:val="000000"/>
          <w:sz w:val="20"/>
          <w:szCs w:val="20"/>
        </w:rPr>
        <w:t xml:space="preserve">to a single user </w:t>
      </w:r>
      <w:r w:rsidR="00005EA9" w:rsidRPr="00AB2507">
        <w:rPr>
          <w:rFonts w:ascii="Arial" w:hAnsi="Arial" w:cs="Arial"/>
          <w:sz w:val="20"/>
          <w:szCs w:val="20"/>
        </w:rPr>
        <w:t xml:space="preserve">of non-display market data for purposes of automated trading when market data is received directly through an uncontrolled feed </w:t>
      </w:r>
      <w:r w:rsidR="0094237D" w:rsidRPr="00AB2507">
        <w:rPr>
          <w:rFonts w:ascii="Arial" w:hAnsi="Arial" w:cs="Arial"/>
          <w:sz w:val="20"/>
          <w:szCs w:val="20"/>
        </w:rPr>
        <w:t>from CQG</w:t>
      </w:r>
      <w:r w:rsidRPr="00AB2507">
        <w:rPr>
          <w:rFonts w:ascii="Arial" w:hAnsi="Arial" w:cs="Arial"/>
          <w:sz w:val="20"/>
          <w:szCs w:val="20"/>
        </w:rPr>
        <w:t>.</w:t>
      </w:r>
      <w:r w:rsidRPr="00AB2507">
        <w:rPr>
          <w:rFonts w:ascii="Arial" w:hAnsi="Arial" w:cs="Arial"/>
          <w:color w:val="000000"/>
          <w:sz w:val="20"/>
          <w:szCs w:val="20"/>
        </w:rPr>
        <w:t xml:space="preserve"> For avoidance of doubt, this does not include a single user at a firm, but rather a single user subscriber, who is a natural person</w:t>
      </w:r>
      <w:r w:rsidR="00005EA9" w:rsidRPr="00AB2507">
        <w:rPr>
          <w:rFonts w:ascii="Arial" w:hAnsi="Arial" w:cs="Arial"/>
          <w:sz w:val="20"/>
          <w:szCs w:val="20"/>
        </w:rPr>
        <w:t xml:space="preserve">.  </w:t>
      </w:r>
    </w:p>
    <w:p w14:paraId="6D42411D" w14:textId="727210E0" w:rsidR="00AB2507" w:rsidRPr="00AB2507" w:rsidRDefault="00066B16" w:rsidP="00AB250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the user is also classified as a Sub-Vendor, this $375 fee is inclusive of the Sub-Vendor Access Fee.</w:t>
      </w:r>
    </w:p>
    <w:p w14:paraId="21C8DEBD" w14:textId="1CFE5C2F" w:rsidR="00005EA9" w:rsidRDefault="0027568D" w:rsidP="00AB250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B2507">
        <w:rPr>
          <w:rFonts w:ascii="Arial" w:hAnsi="Arial" w:cs="Arial"/>
          <w:sz w:val="20"/>
          <w:szCs w:val="20"/>
        </w:rPr>
        <w:t>The fees apply once to each user ($375), per category, per exchange.  Multiple algorithms or strategies are covered under on</w:t>
      </w:r>
      <w:r w:rsidR="00066B16">
        <w:rPr>
          <w:rFonts w:ascii="Arial" w:hAnsi="Arial" w:cs="Arial"/>
          <w:sz w:val="20"/>
          <w:szCs w:val="20"/>
        </w:rPr>
        <w:t>e</w:t>
      </w:r>
      <w:r w:rsidRPr="00AB2507">
        <w:rPr>
          <w:rFonts w:ascii="Arial" w:hAnsi="Arial" w:cs="Arial"/>
          <w:sz w:val="20"/>
          <w:szCs w:val="20"/>
        </w:rPr>
        <w:t xml:space="preserve"> Category </w:t>
      </w:r>
      <w:proofErr w:type="gramStart"/>
      <w:r w:rsidRPr="00AB2507">
        <w:rPr>
          <w:rFonts w:ascii="Arial" w:hAnsi="Arial" w:cs="Arial"/>
          <w:sz w:val="20"/>
          <w:szCs w:val="20"/>
        </w:rPr>
        <w:t>A</w:t>
      </w:r>
      <w:proofErr w:type="gramEnd"/>
      <w:r w:rsidRPr="00AB2507">
        <w:rPr>
          <w:rFonts w:ascii="Arial" w:hAnsi="Arial" w:cs="Arial"/>
          <w:sz w:val="20"/>
          <w:szCs w:val="20"/>
        </w:rPr>
        <w:t xml:space="preserve"> Non-Display License, per exchange</w:t>
      </w:r>
      <w:r w:rsidR="00EF7B1C" w:rsidRPr="00AB2507">
        <w:rPr>
          <w:rFonts w:ascii="Arial" w:hAnsi="Arial" w:cs="Arial"/>
          <w:sz w:val="20"/>
          <w:szCs w:val="20"/>
        </w:rPr>
        <w:t>.</w:t>
      </w:r>
    </w:p>
    <w:p w14:paraId="3215AD09" w14:textId="77777777" w:rsidR="00AB2507" w:rsidRPr="00AB2507" w:rsidRDefault="00AB2507" w:rsidP="00AB2507">
      <w:pPr>
        <w:pStyle w:val="ListParagraph"/>
        <w:rPr>
          <w:rFonts w:ascii="Arial" w:hAnsi="Arial" w:cs="Arial"/>
          <w:sz w:val="20"/>
          <w:szCs w:val="20"/>
        </w:rPr>
      </w:pPr>
    </w:p>
    <w:p w14:paraId="049C0AD7" w14:textId="77777777" w:rsidR="00AB2507" w:rsidRDefault="0027568D" w:rsidP="0027568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***</w:t>
      </w:r>
      <w:r w:rsidR="00AB2507">
        <w:rPr>
          <w:rFonts w:ascii="Arial" w:hAnsi="Arial" w:cs="Arial"/>
          <w:color w:val="000000"/>
          <w:sz w:val="20"/>
          <w:szCs w:val="20"/>
        </w:rPr>
        <w:t xml:space="preserve">Category A:  </w:t>
      </w:r>
      <w:r w:rsidR="00005EA9">
        <w:rPr>
          <w:rFonts w:ascii="Arial" w:hAnsi="Arial" w:cs="Arial"/>
          <w:color w:val="000000"/>
          <w:sz w:val="20"/>
          <w:szCs w:val="20"/>
        </w:rPr>
        <w:t xml:space="preserve">Managed User Non-Display </w:t>
      </w:r>
    </w:p>
    <w:p w14:paraId="648659F6" w14:textId="77777777" w:rsidR="005034F6" w:rsidRDefault="00EF7B1C" w:rsidP="00AB2507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</w:rPr>
      </w:pPr>
      <w:r w:rsidRPr="00AB2507">
        <w:rPr>
          <w:rFonts w:ascii="Arial" w:hAnsi="Arial" w:cs="Arial"/>
          <w:color w:val="000000"/>
          <w:sz w:val="20"/>
          <w:szCs w:val="20"/>
        </w:rPr>
        <w:t xml:space="preserve">This is </w:t>
      </w:r>
      <w:r w:rsidR="00005EA9" w:rsidRPr="00AB2507">
        <w:rPr>
          <w:rFonts w:ascii="Arial" w:hAnsi="Arial" w:cs="Arial"/>
          <w:color w:val="000000"/>
          <w:sz w:val="20"/>
          <w:szCs w:val="20"/>
        </w:rPr>
        <w:t>a re</w:t>
      </w:r>
      <w:r w:rsidRPr="00AB2507">
        <w:rPr>
          <w:rFonts w:ascii="Arial" w:hAnsi="Arial" w:cs="Arial"/>
          <w:color w:val="000000"/>
          <w:sz w:val="20"/>
          <w:szCs w:val="20"/>
        </w:rPr>
        <w:t xml:space="preserve">duced rate of $170 to </w:t>
      </w:r>
      <w:r w:rsidR="00005EA9" w:rsidRPr="00AB2507">
        <w:rPr>
          <w:rFonts w:ascii="Arial" w:hAnsi="Arial" w:cs="Arial"/>
          <w:color w:val="000000"/>
          <w:sz w:val="20"/>
          <w:szCs w:val="20"/>
        </w:rPr>
        <w:t xml:space="preserve">a single user </w:t>
      </w:r>
      <w:r w:rsidR="00005EA9" w:rsidRPr="00AB2507">
        <w:rPr>
          <w:rFonts w:ascii="Arial" w:hAnsi="Arial" w:cs="Arial"/>
          <w:sz w:val="20"/>
          <w:szCs w:val="20"/>
        </w:rPr>
        <w:t xml:space="preserve">of non-display market data </w:t>
      </w:r>
      <w:r w:rsidRPr="00AB2507">
        <w:rPr>
          <w:rFonts w:ascii="Arial" w:hAnsi="Arial" w:cs="Arial"/>
          <w:sz w:val="20"/>
          <w:szCs w:val="20"/>
        </w:rPr>
        <w:t>who</w:t>
      </w:r>
      <w:r w:rsidR="00005EA9" w:rsidRPr="00AB2507">
        <w:rPr>
          <w:rFonts w:ascii="Arial" w:hAnsi="Arial" w:cs="Arial"/>
          <w:sz w:val="20"/>
          <w:szCs w:val="20"/>
        </w:rPr>
        <w:t xml:space="preserve"> receive</w:t>
      </w:r>
      <w:r w:rsidRPr="00AB2507">
        <w:rPr>
          <w:rFonts w:ascii="Arial" w:hAnsi="Arial" w:cs="Arial"/>
          <w:sz w:val="20"/>
          <w:szCs w:val="20"/>
        </w:rPr>
        <w:t>s</w:t>
      </w:r>
      <w:r w:rsidR="00005EA9" w:rsidRPr="00AB2507">
        <w:rPr>
          <w:rFonts w:ascii="Arial" w:hAnsi="Arial" w:cs="Arial"/>
          <w:sz w:val="20"/>
          <w:szCs w:val="20"/>
        </w:rPr>
        <w:t xml:space="preserve"> market data controlled through </w:t>
      </w:r>
      <w:r w:rsidRPr="00AB2507">
        <w:rPr>
          <w:rFonts w:ascii="Arial" w:hAnsi="Arial" w:cs="Arial"/>
          <w:sz w:val="20"/>
          <w:szCs w:val="20"/>
        </w:rPr>
        <w:t>CQG</w:t>
      </w:r>
      <w:r w:rsidR="00005EA9" w:rsidRPr="00AB2507">
        <w:rPr>
          <w:rFonts w:ascii="Arial" w:hAnsi="Arial" w:cs="Arial"/>
          <w:sz w:val="20"/>
          <w:szCs w:val="20"/>
        </w:rPr>
        <w:t xml:space="preserve">. </w:t>
      </w:r>
      <w:r w:rsidRPr="00AB2507">
        <w:rPr>
          <w:rFonts w:ascii="Arial" w:hAnsi="Arial" w:cs="Arial"/>
          <w:color w:val="000000"/>
          <w:sz w:val="20"/>
          <w:szCs w:val="20"/>
        </w:rPr>
        <w:t>For avoidance of doubt, this does not include a single user at a firm, but rather a single user subscriber, who is a natural person.</w:t>
      </w:r>
    </w:p>
    <w:p w14:paraId="7158820A" w14:textId="66494905" w:rsidR="00AB2507" w:rsidRPr="00AB2507" w:rsidRDefault="005034F6" w:rsidP="00AB2507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user’s CQG terminal must have order routing functionality.</w:t>
      </w:r>
      <w:r w:rsidR="00EF7B1C" w:rsidRPr="00AB250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B81B2B7" w14:textId="6511AC97" w:rsidR="00AB2507" w:rsidRPr="00AB2507" w:rsidRDefault="00EF7B1C" w:rsidP="00AB250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B2507">
        <w:rPr>
          <w:rFonts w:ascii="Arial" w:hAnsi="Arial" w:cs="Arial"/>
          <w:sz w:val="20"/>
          <w:szCs w:val="20"/>
        </w:rPr>
        <w:t>CQG</w:t>
      </w:r>
      <w:r w:rsidR="00005EA9" w:rsidRPr="00AB2507">
        <w:rPr>
          <w:rFonts w:ascii="Arial" w:hAnsi="Arial" w:cs="Arial"/>
          <w:sz w:val="20"/>
          <w:szCs w:val="20"/>
        </w:rPr>
        <w:t xml:space="preserve"> is</w:t>
      </w:r>
      <w:r w:rsidR="005034F6">
        <w:rPr>
          <w:rFonts w:ascii="Arial" w:hAnsi="Arial" w:cs="Arial"/>
          <w:sz w:val="20"/>
          <w:szCs w:val="20"/>
        </w:rPr>
        <w:t xml:space="preserve"> required to report and remit</w:t>
      </w:r>
      <w:r w:rsidR="00005EA9" w:rsidRPr="00AB2507">
        <w:rPr>
          <w:rFonts w:ascii="Arial" w:hAnsi="Arial" w:cs="Arial"/>
          <w:sz w:val="20"/>
          <w:szCs w:val="20"/>
        </w:rPr>
        <w:t xml:space="preserve"> Managed User Non-Display</w:t>
      </w:r>
      <w:r w:rsidR="005034F6">
        <w:rPr>
          <w:rFonts w:ascii="Arial" w:hAnsi="Arial" w:cs="Arial"/>
          <w:sz w:val="20"/>
          <w:szCs w:val="20"/>
        </w:rPr>
        <w:t xml:space="preserve"> fees</w:t>
      </w:r>
      <w:r w:rsidR="00005EA9" w:rsidRPr="00AB2507">
        <w:rPr>
          <w:rFonts w:ascii="Arial" w:hAnsi="Arial" w:cs="Arial"/>
          <w:sz w:val="20"/>
          <w:szCs w:val="20"/>
        </w:rPr>
        <w:t xml:space="preserve"> to CME</w:t>
      </w:r>
      <w:r w:rsidR="005034F6">
        <w:rPr>
          <w:rFonts w:ascii="Arial" w:hAnsi="Arial" w:cs="Arial"/>
          <w:sz w:val="20"/>
          <w:szCs w:val="20"/>
        </w:rPr>
        <w:t>.</w:t>
      </w:r>
    </w:p>
    <w:p w14:paraId="69B204B3" w14:textId="77777777" w:rsidR="00005EA9" w:rsidRPr="00AB2507" w:rsidRDefault="00EF7B1C" w:rsidP="00AB250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B2507">
        <w:rPr>
          <w:rFonts w:ascii="Arial" w:hAnsi="Arial" w:cs="Arial"/>
          <w:sz w:val="20"/>
          <w:szCs w:val="20"/>
        </w:rPr>
        <w:t xml:space="preserve">The fee applies per category, per exchange.  Multiple algorithms or strategies are covered under one Category </w:t>
      </w:r>
      <w:proofErr w:type="gramStart"/>
      <w:r w:rsidRPr="00AB2507">
        <w:rPr>
          <w:rFonts w:ascii="Arial" w:hAnsi="Arial" w:cs="Arial"/>
          <w:sz w:val="20"/>
          <w:szCs w:val="20"/>
        </w:rPr>
        <w:t>A</w:t>
      </w:r>
      <w:proofErr w:type="gramEnd"/>
      <w:r w:rsidRPr="00AB2507">
        <w:rPr>
          <w:rFonts w:ascii="Arial" w:hAnsi="Arial" w:cs="Arial"/>
          <w:sz w:val="20"/>
          <w:szCs w:val="20"/>
        </w:rPr>
        <w:t xml:space="preserve"> Non-Display License, per exchange.  </w:t>
      </w:r>
    </w:p>
    <w:p w14:paraId="6D6B285B" w14:textId="77777777" w:rsidR="00AB2507" w:rsidRDefault="0027568D" w:rsidP="002756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****</w:t>
      </w:r>
      <w:r w:rsidR="00AB2507">
        <w:rPr>
          <w:rFonts w:ascii="Arial" w:hAnsi="Arial" w:cs="Arial"/>
          <w:sz w:val="20"/>
          <w:szCs w:val="20"/>
        </w:rPr>
        <w:t xml:space="preserve">Category B:  </w:t>
      </w:r>
      <w:r w:rsidR="00E5545E">
        <w:rPr>
          <w:rFonts w:ascii="Arial" w:hAnsi="Arial" w:cs="Arial"/>
          <w:sz w:val="20"/>
          <w:szCs w:val="20"/>
        </w:rPr>
        <w:t>Internal Order Processing</w:t>
      </w:r>
    </w:p>
    <w:p w14:paraId="42F82963" w14:textId="77777777" w:rsidR="00AB2507" w:rsidRPr="00AB2507" w:rsidRDefault="00AB2507" w:rsidP="00AB250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B2507">
        <w:rPr>
          <w:rFonts w:ascii="Arial" w:hAnsi="Arial" w:cs="Arial"/>
          <w:sz w:val="20"/>
          <w:szCs w:val="20"/>
        </w:rPr>
        <w:t xml:space="preserve">The firm is required to complete a Market Data License with CME Group and remit license fees to CME directly. </w:t>
      </w:r>
    </w:p>
    <w:p w14:paraId="45589E65" w14:textId="77777777" w:rsidR="0027568D" w:rsidRPr="00AB2507" w:rsidRDefault="0027568D" w:rsidP="00AB250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B2507">
        <w:rPr>
          <w:rFonts w:ascii="Arial" w:hAnsi="Arial" w:cs="Arial"/>
          <w:sz w:val="20"/>
          <w:szCs w:val="20"/>
        </w:rPr>
        <w:t xml:space="preserve">The Licenses apply once to each firm (including subsidiaries and affiliates), $670 per category, per exchange.  </w:t>
      </w:r>
    </w:p>
    <w:p w14:paraId="591B2DA7" w14:textId="77777777" w:rsidR="00E72E8D" w:rsidRDefault="00E72E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further information, see </w:t>
      </w:r>
      <w:r w:rsidR="00005EA9">
        <w:rPr>
          <w:rFonts w:ascii="Arial" w:hAnsi="Arial" w:cs="Arial"/>
          <w:sz w:val="20"/>
          <w:szCs w:val="20"/>
        </w:rPr>
        <w:t xml:space="preserve">Schedule 4 to the </w:t>
      </w:r>
      <w:r>
        <w:rPr>
          <w:rFonts w:ascii="Arial" w:hAnsi="Arial" w:cs="Arial"/>
          <w:sz w:val="20"/>
          <w:szCs w:val="20"/>
        </w:rPr>
        <w:t>CME Market Data License Agreement at</w:t>
      </w:r>
      <w:r w:rsidR="00005EA9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005EA9">
          <w:rPr>
            <w:rStyle w:val="Hyperlink"/>
            <w:rFonts w:ascii="Arial" w:hAnsi="Arial" w:cs="Arial"/>
            <w:sz w:val="20"/>
            <w:szCs w:val="20"/>
          </w:rPr>
          <w:t>www.cmegroup.com/mdla</w:t>
        </w:r>
      </w:hyperlink>
      <w:r w:rsidR="00005E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005EA9">
        <w:rPr>
          <w:rFonts w:ascii="Arial" w:hAnsi="Arial" w:cs="Arial"/>
          <w:sz w:val="20"/>
          <w:szCs w:val="20"/>
        </w:rPr>
        <w:t>See Section</w:t>
      </w:r>
      <w:r>
        <w:rPr>
          <w:rFonts w:ascii="Arial" w:hAnsi="Arial" w:cs="Arial"/>
          <w:sz w:val="20"/>
          <w:szCs w:val="20"/>
        </w:rPr>
        <w:t xml:space="preserve"> 16. Non-Display Use, and </w:t>
      </w:r>
      <w:r w:rsidR="00005EA9">
        <w:rPr>
          <w:rFonts w:ascii="Arial" w:hAnsi="Arial" w:cs="Arial"/>
          <w:sz w:val="20"/>
          <w:szCs w:val="20"/>
        </w:rPr>
        <w:t>Schedule 5: Fee Schedule.</w:t>
      </w:r>
    </w:p>
    <w:p w14:paraId="02B33BFC" w14:textId="77777777" w:rsidR="00005EA9" w:rsidRDefault="00E72E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</w:t>
      </w:r>
      <w:r w:rsidR="00005EA9">
        <w:rPr>
          <w:rFonts w:ascii="Arial" w:hAnsi="Arial" w:cs="Arial"/>
          <w:sz w:val="20"/>
          <w:szCs w:val="20"/>
        </w:rPr>
        <w:t>ou may also contact your CME representative, or if you don’t have one, contact CQG’</w:t>
      </w:r>
      <w:r>
        <w:rPr>
          <w:rFonts w:ascii="Arial" w:hAnsi="Arial" w:cs="Arial"/>
          <w:sz w:val="20"/>
          <w:szCs w:val="20"/>
        </w:rPr>
        <w:t xml:space="preserve">s CME representative, </w:t>
      </w:r>
      <w:r w:rsidR="00005EA9">
        <w:rPr>
          <w:rFonts w:ascii="Arial" w:hAnsi="Arial" w:cs="Arial"/>
          <w:sz w:val="20"/>
          <w:szCs w:val="20"/>
        </w:rPr>
        <w:t>Emily Kilmer</w:t>
      </w:r>
      <w:r>
        <w:rPr>
          <w:rFonts w:ascii="Arial" w:hAnsi="Arial" w:cs="Arial"/>
          <w:sz w:val="20"/>
          <w:szCs w:val="20"/>
        </w:rPr>
        <w:t>, in Chicago at</w:t>
      </w:r>
      <w:r w:rsidR="00005EA9">
        <w:rPr>
          <w:rFonts w:ascii="Arial" w:hAnsi="Arial" w:cs="Arial"/>
          <w:sz w:val="20"/>
          <w:szCs w:val="20"/>
        </w:rPr>
        <w:t xml:space="preserve"> (312) 648-8665, </w:t>
      </w:r>
      <w:hyperlink r:id="rId6" w:history="1">
        <w:r w:rsidR="00005EA9" w:rsidRPr="004D67D0">
          <w:rPr>
            <w:rStyle w:val="Hyperlink"/>
            <w:rFonts w:ascii="Arial" w:hAnsi="Arial" w:cs="Arial"/>
            <w:sz w:val="20"/>
            <w:szCs w:val="20"/>
          </w:rPr>
          <w:t>Emily.Kilmer@cmegroup.com</w:t>
        </w:r>
      </w:hyperlink>
      <w:r w:rsidR="00005EA9">
        <w:rPr>
          <w:rFonts w:ascii="Arial" w:hAnsi="Arial" w:cs="Arial"/>
          <w:sz w:val="20"/>
          <w:szCs w:val="20"/>
        </w:rPr>
        <w:t xml:space="preserve"> </w:t>
      </w:r>
    </w:p>
    <w:sectPr w:rsidR="00005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4760"/>
    <w:multiLevelType w:val="multilevel"/>
    <w:tmpl w:val="0156A90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B797E"/>
    <w:multiLevelType w:val="hybridMultilevel"/>
    <w:tmpl w:val="6CCADA2C"/>
    <w:lvl w:ilvl="0" w:tplc="5E324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AE614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EACDB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C02ED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E901F2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D7E07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AC8C28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ADEE16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536A2E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141B1678"/>
    <w:multiLevelType w:val="hybridMultilevel"/>
    <w:tmpl w:val="62CA45D8"/>
    <w:lvl w:ilvl="0" w:tplc="D58E2F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44A77"/>
    <w:multiLevelType w:val="hybridMultilevel"/>
    <w:tmpl w:val="01A6905C"/>
    <w:lvl w:ilvl="0" w:tplc="D58E2F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D1243"/>
    <w:multiLevelType w:val="hybridMultilevel"/>
    <w:tmpl w:val="6BD2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209C9"/>
    <w:multiLevelType w:val="hybridMultilevel"/>
    <w:tmpl w:val="1EA88FC6"/>
    <w:lvl w:ilvl="0" w:tplc="C3982E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A9"/>
    <w:rsid w:val="00005EA9"/>
    <w:rsid w:val="00066B16"/>
    <w:rsid w:val="000809F8"/>
    <w:rsid w:val="00106F12"/>
    <w:rsid w:val="0015313E"/>
    <w:rsid w:val="0027568D"/>
    <w:rsid w:val="002B6B33"/>
    <w:rsid w:val="003F1788"/>
    <w:rsid w:val="005034F6"/>
    <w:rsid w:val="00552758"/>
    <w:rsid w:val="0061199A"/>
    <w:rsid w:val="00644E7E"/>
    <w:rsid w:val="00675C99"/>
    <w:rsid w:val="0094237D"/>
    <w:rsid w:val="00A52109"/>
    <w:rsid w:val="00AB2507"/>
    <w:rsid w:val="00B3033A"/>
    <w:rsid w:val="00B50B49"/>
    <w:rsid w:val="00E5545E"/>
    <w:rsid w:val="00E56472"/>
    <w:rsid w:val="00E72E8D"/>
    <w:rsid w:val="00EF7B1C"/>
    <w:rsid w:val="00FA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10CD7"/>
  <w15:docId w15:val="{5674A560-4888-42CE-9E57-393118F4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5E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5EA9"/>
    <w:rPr>
      <w:b/>
      <w:bCs/>
    </w:rPr>
  </w:style>
  <w:style w:type="character" w:styleId="Hyperlink">
    <w:name w:val="Hyperlink"/>
    <w:basedOn w:val="DefaultParagraphFont"/>
    <w:uiPriority w:val="99"/>
    <w:unhideWhenUsed/>
    <w:rsid w:val="00005EA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5EA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2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ily.Kilmer@cmegroup.com" TargetMode="External"/><Relationship Id="rId5" Type="http://schemas.openxmlformats.org/officeDocument/2006/relationships/hyperlink" Target="http://www.cmegroup.com/md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Vancil</dc:creator>
  <cp:lastModifiedBy>Matt Schenk</cp:lastModifiedBy>
  <cp:revision>2</cp:revision>
  <dcterms:created xsi:type="dcterms:W3CDTF">2017-11-18T04:37:00Z</dcterms:created>
  <dcterms:modified xsi:type="dcterms:W3CDTF">2017-11-18T04:37:00Z</dcterms:modified>
</cp:coreProperties>
</file>